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6D" w:rsidRDefault="00DB346D" w:rsidP="00DB346D">
      <w:pPr>
        <w:ind w:left="720"/>
      </w:pPr>
    </w:p>
    <w:tbl>
      <w:tblPr>
        <w:tblW w:w="9360" w:type="dxa"/>
        <w:tblInd w:w="720" w:type="dxa"/>
        <w:tblCellMar>
          <w:left w:w="0" w:type="dxa"/>
          <w:right w:w="0" w:type="dxa"/>
        </w:tblCellMar>
        <w:tblLook w:val="04A0" w:firstRow="1" w:lastRow="0" w:firstColumn="1" w:lastColumn="0" w:noHBand="0" w:noVBand="1"/>
      </w:tblPr>
      <w:tblGrid>
        <w:gridCol w:w="9966"/>
      </w:tblGrid>
      <w:tr w:rsidR="00DB346D" w:rsidTr="00DB346D">
        <w:tc>
          <w:tcPr>
            <w:tcW w:w="9360" w:type="dxa"/>
            <w:shd w:val="clear" w:color="auto" w:fill="005984"/>
            <w:tcMar>
              <w:top w:w="0" w:type="dxa"/>
              <w:left w:w="108" w:type="dxa"/>
              <w:bottom w:w="0" w:type="dxa"/>
              <w:right w:w="108" w:type="dxa"/>
            </w:tcMar>
          </w:tcPr>
          <w:p w:rsidR="00DB346D" w:rsidRDefault="00DB346D">
            <w:pPr>
              <w:spacing w:after="0" w:line="240" w:lineRule="auto"/>
              <w:rPr>
                <w:sz w:val="18"/>
                <w:szCs w:val="18"/>
              </w:rPr>
            </w:pPr>
            <w:bookmarkStart w:id="0" w:name="_Hlk61962646"/>
          </w:p>
          <w:p w:rsidR="00DB346D" w:rsidRDefault="00DB346D">
            <w:pPr>
              <w:spacing w:after="0" w:line="240" w:lineRule="auto"/>
            </w:pPr>
          </w:p>
          <w:p w:rsidR="00DB346D" w:rsidRDefault="00DB346D">
            <w:pPr>
              <w:spacing w:after="0" w:line="240" w:lineRule="auto"/>
              <w:jc w:val="center"/>
            </w:pPr>
            <w:r>
              <w:rPr>
                <w:noProof/>
              </w:rPr>
              <w:drawing>
                <wp:inline distT="0" distB="0" distL="0" distR="0">
                  <wp:extent cx="6191250" cy="1038225"/>
                  <wp:effectExtent l="0" t="0" r="0" b="9525"/>
                  <wp:docPr id="2" name="Picture 2" descr="cid:image001.jpg@01D70383.02D0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70383.02D017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191250" cy="1038225"/>
                          </a:xfrm>
                          <a:prstGeom prst="rect">
                            <a:avLst/>
                          </a:prstGeom>
                          <a:noFill/>
                          <a:ln>
                            <a:noFill/>
                          </a:ln>
                        </pic:spPr>
                      </pic:pic>
                    </a:graphicData>
                  </a:graphic>
                </wp:inline>
              </w:drawing>
            </w:r>
          </w:p>
          <w:p w:rsidR="00DB346D" w:rsidRDefault="00DB346D">
            <w:pPr>
              <w:spacing w:after="0" w:line="240" w:lineRule="auto"/>
            </w:pPr>
          </w:p>
        </w:tc>
      </w:tr>
      <w:tr w:rsidR="00DB346D" w:rsidTr="00DB346D">
        <w:tc>
          <w:tcPr>
            <w:tcW w:w="9360" w:type="dxa"/>
            <w:shd w:val="clear" w:color="auto" w:fill="BED732"/>
            <w:tcMar>
              <w:top w:w="0" w:type="dxa"/>
              <w:left w:w="108" w:type="dxa"/>
              <w:bottom w:w="0" w:type="dxa"/>
              <w:right w:w="108" w:type="dxa"/>
            </w:tcMar>
            <w:hideMark/>
          </w:tcPr>
          <w:p w:rsidR="00DB346D" w:rsidRDefault="00DB346D">
            <w:pPr>
              <w:spacing w:after="0" w:line="240" w:lineRule="auto"/>
              <w:jc w:val="center"/>
              <w:rPr>
                <w:rFonts w:ascii="AvenirNext LT Pro Bold" w:hAnsi="AvenirNext LT Pro Bold"/>
                <w:sz w:val="48"/>
                <w:szCs w:val="48"/>
              </w:rPr>
            </w:pPr>
            <w:r>
              <w:rPr>
                <w:rFonts w:ascii="AvenirNext LT Pro Bold" w:hAnsi="AvenirNext LT Pro Bold"/>
                <w:sz w:val="48"/>
                <w:szCs w:val="48"/>
              </w:rPr>
              <w:t xml:space="preserve">Scholarship $ for Your Students </w:t>
            </w:r>
          </w:p>
          <w:p w:rsidR="00DB346D" w:rsidRDefault="00DB346D">
            <w:pPr>
              <w:spacing w:after="0" w:line="240" w:lineRule="auto"/>
              <w:jc w:val="center"/>
              <w:rPr>
                <w:rFonts w:ascii="AvenirNext LT Pro Bold" w:hAnsi="AvenirNext LT Pro Bold"/>
                <w:sz w:val="48"/>
                <w:szCs w:val="48"/>
              </w:rPr>
            </w:pPr>
            <w:r>
              <w:rPr>
                <w:rFonts w:ascii="AvenirNext LT Pro Bold" w:hAnsi="AvenirNext LT Pro Bold"/>
                <w:sz w:val="48"/>
                <w:szCs w:val="48"/>
              </w:rPr>
              <w:t xml:space="preserve">Deadline March 1, 2021 </w:t>
            </w:r>
          </w:p>
        </w:tc>
      </w:tr>
      <w:tr w:rsidR="00DB346D" w:rsidTr="00DB346D">
        <w:tc>
          <w:tcPr>
            <w:tcW w:w="9360" w:type="dxa"/>
            <w:tcMar>
              <w:top w:w="0" w:type="dxa"/>
              <w:left w:w="108" w:type="dxa"/>
              <w:bottom w:w="0" w:type="dxa"/>
              <w:right w:w="108" w:type="dxa"/>
            </w:tcMar>
          </w:tcPr>
          <w:p w:rsidR="00DB346D" w:rsidRDefault="00DB346D">
            <w:pPr>
              <w:spacing w:after="0" w:line="240" w:lineRule="auto"/>
              <w:jc w:val="both"/>
              <w:rPr>
                <w:rFonts w:ascii="Arial" w:hAnsi="Arial" w:cs="Arial"/>
                <w:color w:val="005984"/>
                <w:sz w:val="21"/>
                <w:szCs w:val="21"/>
              </w:rPr>
            </w:pPr>
          </w:p>
          <w:p w:rsidR="00DB346D" w:rsidRDefault="00DB346D">
            <w:pPr>
              <w:spacing w:after="0" w:line="276" w:lineRule="auto"/>
              <w:jc w:val="both"/>
              <w:rPr>
                <w:rFonts w:ascii="Arial" w:hAnsi="Arial" w:cs="Arial"/>
                <w:sz w:val="21"/>
                <w:szCs w:val="21"/>
              </w:rPr>
            </w:pPr>
            <w:r>
              <w:rPr>
                <w:rFonts w:ascii="Arial" w:hAnsi="Arial" w:cs="Arial"/>
                <w:sz w:val="21"/>
                <w:szCs w:val="21"/>
              </w:rPr>
              <w:t xml:space="preserve">Your high school clubs may or may not be meeting much this year, but PTC wants to remind you and your students that we offer several scholarships to high school seniors based on their involvement in any of the following: </w:t>
            </w:r>
          </w:p>
        </w:tc>
      </w:tr>
      <w:tr w:rsidR="00DB346D" w:rsidTr="00DB346D">
        <w:tc>
          <w:tcPr>
            <w:tcW w:w="9360" w:type="dxa"/>
            <w:tcMar>
              <w:top w:w="0" w:type="dxa"/>
              <w:left w:w="108" w:type="dxa"/>
              <w:bottom w:w="0" w:type="dxa"/>
              <w:right w:w="108" w:type="dxa"/>
            </w:tcMar>
          </w:tcPr>
          <w:p w:rsidR="00DB346D" w:rsidRDefault="00DB346D">
            <w:pPr>
              <w:spacing w:after="0" w:line="240" w:lineRule="auto"/>
            </w:pPr>
          </w:p>
          <w:tbl>
            <w:tblPr>
              <w:tblW w:w="0" w:type="auto"/>
              <w:tblCellMar>
                <w:left w:w="0" w:type="dxa"/>
                <w:right w:w="0" w:type="dxa"/>
              </w:tblCellMar>
              <w:tblLook w:val="04A0" w:firstRow="1" w:lastRow="0" w:firstColumn="1" w:lastColumn="0" w:noHBand="0" w:noVBand="1"/>
            </w:tblPr>
            <w:tblGrid>
              <w:gridCol w:w="3044"/>
              <w:gridCol w:w="3045"/>
              <w:gridCol w:w="3045"/>
            </w:tblGrid>
            <w:tr w:rsidR="00DB346D">
              <w:tc>
                <w:tcPr>
                  <w:tcW w:w="3044" w:type="dxa"/>
                  <w:tcMar>
                    <w:top w:w="0" w:type="dxa"/>
                    <w:left w:w="108" w:type="dxa"/>
                    <w:bottom w:w="0" w:type="dxa"/>
                    <w:right w:w="108" w:type="dxa"/>
                  </w:tcMar>
                </w:tcPr>
                <w:p w:rsidR="00DB346D" w:rsidRDefault="00DB346D">
                  <w:pPr>
                    <w:spacing w:after="0" w:line="240" w:lineRule="auto"/>
                    <w:jc w:val="center"/>
                    <w:rPr>
                      <w:rFonts w:ascii="Arial" w:hAnsi="Arial" w:cs="Arial"/>
                      <w:b/>
                      <w:bCs/>
                      <w:sz w:val="12"/>
                      <w:szCs w:val="12"/>
                    </w:rPr>
                  </w:pPr>
                </w:p>
                <w:p w:rsidR="00DB346D" w:rsidRDefault="00DB346D">
                  <w:pPr>
                    <w:spacing w:after="0" w:line="240" w:lineRule="auto"/>
                    <w:jc w:val="center"/>
                    <w:rPr>
                      <w:rFonts w:ascii="Arial" w:hAnsi="Arial" w:cs="Arial"/>
                      <w:b/>
                      <w:bCs/>
                      <w:sz w:val="21"/>
                      <w:szCs w:val="21"/>
                    </w:rPr>
                  </w:pPr>
                  <w:r>
                    <w:rPr>
                      <w:rFonts w:ascii="Arial" w:hAnsi="Arial" w:cs="Arial"/>
                      <w:b/>
                      <w:bCs/>
                      <w:sz w:val="21"/>
                      <w:szCs w:val="21"/>
                    </w:rPr>
                    <w:t xml:space="preserve">BPA </w:t>
                  </w:r>
                </w:p>
              </w:tc>
              <w:tc>
                <w:tcPr>
                  <w:tcW w:w="3045" w:type="dxa"/>
                  <w:tcMar>
                    <w:top w:w="0" w:type="dxa"/>
                    <w:left w:w="108" w:type="dxa"/>
                    <w:bottom w:w="0" w:type="dxa"/>
                    <w:right w:w="108" w:type="dxa"/>
                  </w:tcMar>
                </w:tcPr>
                <w:p w:rsidR="00DB346D" w:rsidRDefault="00DB346D">
                  <w:pPr>
                    <w:spacing w:after="0" w:line="240" w:lineRule="auto"/>
                    <w:jc w:val="center"/>
                    <w:rPr>
                      <w:rFonts w:ascii="Arial" w:hAnsi="Arial" w:cs="Arial"/>
                      <w:b/>
                      <w:bCs/>
                      <w:sz w:val="12"/>
                      <w:szCs w:val="12"/>
                    </w:rPr>
                  </w:pPr>
                </w:p>
                <w:p w:rsidR="00DB346D" w:rsidRDefault="00DB346D">
                  <w:pPr>
                    <w:spacing w:after="0" w:line="240" w:lineRule="auto"/>
                    <w:jc w:val="center"/>
                    <w:rPr>
                      <w:rFonts w:ascii="Arial" w:hAnsi="Arial" w:cs="Arial"/>
                      <w:b/>
                      <w:bCs/>
                      <w:sz w:val="21"/>
                      <w:szCs w:val="21"/>
                    </w:rPr>
                  </w:pPr>
                  <w:r>
                    <w:rPr>
                      <w:rFonts w:ascii="Arial" w:hAnsi="Arial" w:cs="Arial"/>
                      <w:b/>
                      <w:bCs/>
                      <w:sz w:val="21"/>
                      <w:szCs w:val="21"/>
                    </w:rPr>
                    <w:t xml:space="preserve">JROTC </w:t>
                  </w:r>
                </w:p>
              </w:tc>
              <w:tc>
                <w:tcPr>
                  <w:tcW w:w="3045" w:type="dxa"/>
                  <w:tcMar>
                    <w:top w:w="0" w:type="dxa"/>
                    <w:left w:w="108" w:type="dxa"/>
                    <w:bottom w:w="0" w:type="dxa"/>
                    <w:right w:w="108" w:type="dxa"/>
                  </w:tcMar>
                </w:tcPr>
                <w:p w:rsidR="00DB346D" w:rsidRDefault="00DB346D">
                  <w:pPr>
                    <w:spacing w:after="0" w:line="240" w:lineRule="auto"/>
                    <w:jc w:val="center"/>
                    <w:rPr>
                      <w:rFonts w:ascii="Arial" w:hAnsi="Arial" w:cs="Arial"/>
                      <w:b/>
                      <w:bCs/>
                      <w:sz w:val="12"/>
                      <w:szCs w:val="12"/>
                    </w:rPr>
                  </w:pPr>
                </w:p>
                <w:p w:rsidR="00DB346D" w:rsidRDefault="00DB346D">
                  <w:pPr>
                    <w:spacing w:after="0" w:line="240" w:lineRule="auto"/>
                    <w:jc w:val="center"/>
                    <w:rPr>
                      <w:rFonts w:ascii="Arial" w:hAnsi="Arial" w:cs="Arial"/>
                      <w:b/>
                      <w:bCs/>
                      <w:sz w:val="21"/>
                      <w:szCs w:val="21"/>
                    </w:rPr>
                  </w:pPr>
                  <w:r>
                    <w:rPr>
                      <w:rFonts w:ascii="Arial" w:hAnsi="Arial" w:cs="Arial"/>
                      <w:b/>
                      <w:bCs/>
                      <w:sz w:val="21"/>
                      <w:szCs w:val="21"/>
                    </w:rPr>
                    <w:t xml:space="preserve">TSA </w:t>
                  </w:r>
                </w:p>
              </w:tc>
            </w:tr>
            <w:tr w:rsidR="00DB346D">
              <w:tc>
                <w:tcPr>
                  <w:tcW w:w="3044" w:type="dxa"/>
                  <w:tcMar>
                    <w:top w:w="0" w:type="dxa"/>
                    <w:left w:w="108" w:type="dxa"/>
                    <w:bottom w:w="0" w:type="dxa"/>
                    <w:right w:w="108" w:type="dxa"/>
                  </w:tcMar>
                </w:tcPr>
                <w:p w:rsidR="00DB346D" w:rsidRDefault="00DB346D">
                  <w:pPr>
                    <w:spacing w:after="0" w:line="240" w:lineRule="auto"/>
                    <w:jc w:val="center"/>
                    <w:rPr>
                      <w:rFonts w:ascii="Arial" w:hAnsi="Arial" w:cs="Arial"/>
                      <w:b/>
                      <w:bCs/>
                      <w:sz w:val="21"/>
                      <w:szCs w:val="21"/>
                    </w:rPr>
                  </w:pPr>
                </w:p>
                <w:p w:rsidR="00DB346D" w:rsidRDefault="00DB346D">
                  <w:pPr>
                    <w:spacing w:after="0" w:line="240" w:lineRule="auto"/>
                    <w:jc w:val="center"/>
                    <w:rPr>
                      <w:rFonts w:ascii="Arial" w:hAnsi="Arial" w:cs="Arial"/>
                      <w:b/>
                      <w:bCs/>
                      <w:sz w:val="21"/>
                      <w:szCs w:val="21"/>
                    </w:rPr>
                  </w:pPr>
                  <w:r>
                    <w:rPr>
                      <w:rFonts w:ascii="Arial" w:hAnsi="Arial" w:cs="Arial"/>
                      <w:b/>
                      <w:bCs/>
                      <w:sz w:val="21"/>
                      <w:szCs w:val="21"/>
                    </w:rPr>
                    <w:t xml:space="preserve">HOSA </w:t>
                  </w:r>
                </w:p>
              </w:tc>
              <w:tc>
                <w:tcPr>
                  <w:tcW w:w="3045" w:type="dxa"/>
                  <w:tcMar>
                    <w:top w:w="0" w:type="dxa"/>
                    <w:left w:w="108" w:type="dxa"/>
                    <w:bottom w:w="0" w:type="dxa"/>
                    <w:right w:w="108" w:type="dxa"/>
                  </w:tcMar>
                </w:tcPr>
                <w:p w:rsidR="00DB346D" w:rsidRDefault="00DB346D">
                  <w:pPr>
                    <w:spacing w:after="0" w:line="240" w:lineRule="auto"/>
                    <w:jc w:val="center"/>
                    <w:rPr>
                      <w:rFonts w:ascii="Arial" w:hAnsi="Arial" w:cs="Arial"/>
                      <w:b/>
                      <w:bCs/>
                      <w:sz w:val="21"/>
                      <w:szCs w:val="21"/>
                    </w:rPr>
                  </w:pPr>
                </w:p>
                <w:p w:rsidR="00DB346D" w:rsidRDefault="00DB346D">
                  <w:pPr>
                    <w:spacing w:after="0" w:line="240" w:lineRule="auto"/>
                    <w:jc w:val="center"/>
                    <w:rPr>
                      <w:rFonts w:ascii="Arial" w:hAnsi="Arial" w:cs="Arial"/>
                      <w:b/>
                      <w:bCs/>
                      <w:sz w:val="21"/>
                      <w:szCs w:val="21"/>
                    </w:rPr>
                  </w:pPr>
                  <w:r>
                    <w:rPr>
                      <w:rFonts w:ascii="Arial" w:hAnsi="Arial" w:cs="Arial"/>
                      <w:b/>
                      <w:bCs/>
                      <w:sz w:val="21"/>
                      <w:szCs w:val="21"/>
                    </w:rPr>
                    <w:t xml:space="preserve">FBLA </w:t>
                  </w:r>
                </w:p>
              </w:tc>
              <w:tc>
                <w:tcPr>
                  <w:tcW w:w="3045" w:type="dxa"/>
                  <w:tcMar>
                    <w:top w:w="0" w:type="dxa"/>
                    <w:left w:w="108" w:type="dxa"/>
                    <w:bottom w:w="0" w:type="dxa"/>
                    <w:right w:w="108" w:type="dxa"/>
                  </w:tcMar>
                </w:tcPr>
                <w:p w:rsidR="00DB346D" w:rsidRDefault="00DB346D">
                  <w:pPr>
                    <w:spacing w:after="0" w:line="240" w:lineRule="auto"/>
                    <w:jc w:val="center"/>
                    <w:rPr>
                      <w:rFonts w:ascii="Arial" w:hAnsi="Arial" w:cs="Arial"/>
                      <w:b/>
                      <w:bCs/>
                      <w:sz w:val="21"/>
                      <w:szCs w:val="21"/>
                    </w:rPr>
                  </w:pPr>
                </w:p>
                <w:p w:rsidR="00DB346D" w:rsidRDefault="00DB346D">
                  <w:pPr>
                    <w:spacing w:after="0" w:line="240" w:lineRule="auto"/>
                    <w:jc w:val="center"/>
                    <w:rPr>
                      <w:rFonts w:ascii="Arial" w:hAnsi="Arial" w:cs="Arial"/>
                      <w:b/>
                      <w:bCs/>
                      <w:sz w:val="21"/>
                      <w:szCs w:val="21"/>
                    </w:rPr>
                  </w:pPr>
                  <w:r>
                    <w:rPr>
                      <w:rFonts w:ascii="Arial" w:hAnsi="Arial" w:cs="Arial"/>
                      <w:b/>
                      <w:bCs/>
                      <w:sz w:val="21"/>
                      <w:szCs w:val="21"/>
                    </w:rPr>
                    <w:t xml:space="preserve">FFA </w:t>
                  </w:r>
                </w:p>
              </w:tc>
            </w:tr>
            <w:tr w:rsidR="00DB346D">
              <w:tc>
                <w:tcPr>
                  <w:tcW w:w="3044" w:type="dxa"/>
                  <w:tcMar>
                    <w:top w:w="0" w:type="dxa"/>
                    <w:left w:w="108" w:type="dxa"/>
                    <w:bottom w:w="0" w:type="dxa"/>
                    <w:right w:w="108" w:type="dxa"/>
                  </w:tcMar>
                </w:tcPr>
                <w:p w:rsidR="00DB346D" w:rsidRDefault="00DB346D">
                  <w:pPr>
                    <w:spacing w:after="0" w:line="240" w:lineRule="auto"/>
                    <w:jc w:val="center"/>
                    <w:rPr>
                      <w:rFonts w:ascii="Arial" w:hAnsi="Arial" w:cs="Arial"/>
                      <w:b/>
                      <w:bCs/>
                      <w:sz w:val="21"/>
                      <w:szCs w:val="21"/>
                    </w:rPr>
                  </w:pPr>
                </w:p>
                <w:p w:rsidR="00DB346D" w:rsidRDefault="00DB346D">
                  <w:pPr>
                    <w:spacing w:after="0" w:line="240" w:lineRule="auto"/>
                    <w:jc w:val="center"/>
                    <w:rPr>
                      <w:rFonts w:ascii="Arial" w:hAnsi="Arial" w:cs="Arial"/>
                      <w:b/>
                      <w:bCs/>
                      <w:sz w:val="21"/>
                      <w:szCs w:val="21"/>
                    </w:rPr>
                  </w:pPr>
                  <w:r>
                    <w:rPr>
                      <w:rFonts w:ascii="Arial" w:hAnsi="Arial" w:cs="Arial"/>
                      <w:b/>
                      <w:bCs/>
                      <w:sz w:val="21"/>
                      <w:szCs w:val="21"/>
                    </w:rPr>
                    <w:t xml:space="preserve">DECA </w:t>
                  </w:r>
                </w:p>
              </w:tc>
              <w:tc>
                <w:tcPr>
                  <w:tcW w:w="3045" w:type="dxa"/>
                  <w:tcMar>
                    <w:top w:w="0" w:type="dxa"/>
                    <w:left w:w="108" w:type="dxa"/>
                    <w:bottom w:w="0" w:type="dxa"/>
                    <w:right w:w="108" w:type="dxa"/>
                  </w:tcMar>
                </w:tcPr>
                <w:p w:rsidR="00DB346D" w:rsidRDefault="00DB346D">
                  <w:pPr>
                    <w:spacing w:after="0" w:line="240" w:lineRule="auto"/>
                    <w:jc w:val="center"/>
                    <w:rPr>
                      <w:rFonts w:ascii="Arial" w:hAnsi="Arial" w:cs="Arial"/>
                      <w:b/>
                      <w:bCs/>
                      <w:sz w:val="21"/>
                      <w:szCs w:val="21"/>
                    </w:rPr>
                  </w:pPr>
                </w:p>
                <w:p w:rsidR="00DB346D" w:rsidRDefault="00DB346D">
                  <w:pPr>
                    <w:spacing w:after="0" w:line="240" w:lineRule="auto"/>
                    <w:jc w:val="center"/>
                    <w:rPr>
                      <w:rFonts w:ascii="Arial" w:hAnsi="Arial" w:cs="Arial"/>
                      <w:b/>
                      <w:bCs/>
                      <w:sz w:val="21"/>
                      <w:szCs w:val="21"/>
                    </w:rPr>
                  </w:pPr>
                  <w:r>
                    <w:rPr>
                      <w:rFonts w:ascii="Arial" w:hAnsi="Arial" w:cs="Arial"/>
                      <w:b/>
                      <w:bCs/>
                      <w:sz w:val="21"/>
                      <w:szCs w:val="21"/>
                    </w:rPr>
                    <w:t xml:space="preserve">FCCLA </w:t>
                  </w:r>
                </w:p>
              </w:tc>
              <w:tc>
                <w:tcPr>
                  <w:tcW w:w="3045" w:type="dxa"/>
                  <w:tcMar>
                    <w:top w:w="0" w:type="dxa"/>
                    <w:left w:w="108" w:type="dxa"/>
                    <w:bottom w:w="0" w:type="dxa"/>
                    <w:right w:w="108" w:type="dxa"/>
                  </w:tcMar>
                </w:tcPr>
                <w:p w:rsidR="00DB346D" w:rsidRDefault="00DB346D">
                  <w:pPr>
                    <w:spacing w:after="0" w:line="240" w:lineRule="auto"/>
                    <w:jc w:val="center"/>
                    <w:rPr>
                      <w:rFonts w:ascii="Arial" w:hAnsi="Arial" w:cs="Arial"/>
                      <w:b/>
                      <w:bCs/>
                      <w:sz w:val="21"/>
                      <w:szCs w:val="21"/>
                    </w:rPr>
                  </w:pPr>
                </w:p>
                <w:p w:rsidR="00DB346D" w:rsidRDefault="00DB346D">
                  <w:pPr>
                    <w:spacing w:after="0" w:line="240" w:lineRule="auto"/>
                    <w:jc w:val="center"/>
                    <w:rPr>
                      <w:rFonts w:ascii="Arial" w:hAnsi="Arial" w:cs="Arial"/>
                      <w:b/>
                      <w:bCs/>
                      <w:sz w:val="21"/>
                      <w:szCs w:val="21"/>
                    </w:rPr>
                  </w:pPr>
                  <w:proofErr w:type="spellStart"/>
                  <w:r>
                    <w:rPr>
                      <w:rFonts w:ascii="Arial" w:hAnsi="Arial" w:cs="Arial"/>
                      <w:b/>
                      <w:bCs/>
                      <w:sz w:val="21"/>
                      <w:szCs w:val="21"/>
                    </w:rPr>
                    <w:t>SkillsUSA</w:t>
                  </w:r>
                  <w:proofErr w:type="spellEnd"/>
                  <w:r>
                    <w:rPr>
                      <w:rFonts w:ascii="Arial" w:hAnsi="Arial" w:cs="Arial"/>
                      <w:b/>
                      <w:bCs/>
                      <w:sz w:val="21"/>
                      <w:szCs w:val="21"/>
                    </w:rPr>
                    <w:t xml:space="preserve"> </w:t>
                  </w:r>
                </w:p>
              </w:tc>
            </w:tr>
            <w:tr w:rsidR="00DB346D">
              <w:tc>
                <w:tcPr>
                  <w:tcW w:w="9134" w:type="dxa"/>
                  <w:gridSpan w:val="3"/>
                  <w:tcMar>
                    <w:top w:w="0" w:type="dxa"/>
                    <w:left w:w="108" w:type="dxa"/>
                    <w:bottom w:w="0" w:type="dxa"/>
                    <w:right w:w="108" w:type="dxa"/>
                  </w:tcMar>
                </w:tcPr>
                <w:p w:rsidR="00DB346D" w:rsidRDefault="00DB346D">
                  <w:pPr>
                    <w:spacing w:after="0" w:line="240" w:lineRule="auto"/>
                    <w:jc w:val="center"/>
                    <w:rPr>
                      <w:rFonts w:ascii="Arial" w:hAnsi="Arial" w:cs="Arial"/>
                      <w:b/>
                      <w:bCs/>
                      <w:sz w:val="21"/>
                      <w:szCs w:val="21"/>
                    </w:rPr>
                  </w:pPr>
                </w:p>
                <w:p w:rsidR="00DB346D" w:rsidRDefault="00DB346D">
                  <w:pPr>
                    <w:spacing w:after="0" w:line="240" w:lineRule="auto"/>
                    <w:jc w:val="center"/>
                    <w:rPr>
                      <w:rFonts w:ascii="Arial" w:hAnsi="Arial" w:cs="Arial"/>
                      <w:b/>
                      <w:bCs/>
                      <w:sz w:val="21"/>
                      <w:szCs w:val="21"/>
                    </w:rPr>
                  </w:pPr>
                  <w:r>
                    <w:rPr>
                      <w:rFonts w:ascii="Arial" w:hAnsi="Arial" w:cs="Arial"/>
                      <w:b/>
                      <w:bCs/>
                      <w:sz w:val="21"/>
                      <w:szCs w:val="21"/>
                    </w:rPr>
                    <w:t xml:space="preserve">Plus a special scholarship available for Cyber School Students </w:t>
                  </w:r>
                </w:p>
                <w:p w:rsidR="00DB346D" w:rsidRDefault="00DB346D">
                  <w:pPr>
                    <w:spacing w:after="0" w:line="240" w:lineRule="auto"/>
                    <w:jc w:val="center"/>
                    <w:rPr>
                      <w:rFonts w:ascii="Arial" w:hAnsi="Arial" w:cs="Arial"/>
                      <w:b/>
                      <w:bCs/>
                      <w:sz w:val="21"/>
                      <w:szCs w:val="21"/>
                    </w:rPr>
                  </w:pPr>
                </w:p>
              </w:tc>
            </w:tr>
          </w:tbl>
          <w:p w:rsidR="00DB346D" w:rsidRDefault="00DB346D">
            <w:pPr>
              <w:spacing w:after="0" w:line="240" w:lineRule="auto"/>
              <w:jc w:val="center"/>
              <w:rPr>
                <w:sz w:val="18"/>
                <w:szCs w:val="18"/>
              </w:rPr>
            </w:pPr>
          </w:p>
        </w:tc>
      </w:tr>
      <w:tr w:rsidR="00DB346D" w:rsidTr="00DB346D">
        <w:tc>
          <w:tcPr>
            <w:tcW w:w="9360" w:type="dxa"/>
            <w:shd w:val="clear" w:color="auto" w:fill="BED732"/>
            <w:tcMar>
              <w:top w:w="0" w:type="dxa"/>
              <w:left w:w="108" w:type="dxa"/>
              <w:bottom w:w="0" w:type="dxa"/>
              <w:right w:w="108" w:type="dxa"/>
            </w:tcMar>
            <w:hideMark/>
          </w:tcPr>
          <w:p w:rsidR="00DB346D" w:rsidRDefault="00DB346D">
            <w:pPr>
              <w:spacing w:after="0" w:line="240" w:lineRule="auto"/>
              <w:jc w:val="center"/>
              <w:rPr>
                <w:rFonts w:ascii="AvenirNext LT Pro Bold" w:hAnsi="AvenirNext LT Pro Bold"/>
                <w:sz w:val="48"/>
                <w:szCs w:val="48"/>
              </w:rPr>
            </w:pPr>
            <w:r>
              <w:rPr>
                <w:rFonts w:ascii="AvenirNext LT Pro Bold" w:hAnsi="AvenirNext LT Pro Bold"/>
                <w:color w:val="E67823"/>
                <w:sz w:val="48"/>
                <w:szCs w:val="48"/>
              </w:rPr>
              <w:t>$3,000   $6,000   $9,000</w:t>
            </w:r>
            <w:r>
              <w:rPr>
                <w:rFonts w:ascii="AvenirNext LT Pro Bold" w:hAnsi="AvenirNext LT Pro Bold"/>
                <w:sz w:val="48"/>
                <w:szCs w:val="48"/>
              </w:rPr>
              <w:t xml:space="preserve"> </w:t>
            </w:r>
          </w:p>
          <w:p w:rsidR="00DB346D" w:rsidRDefault="00DB346D">
            <w:pPr>
              <w:spacing w:after="0" w:line="240" w:lineRule="auto"/>
              <w:jc w:val="center"/>
              <w:rPr>
                <w:rFonts w:ascii="AvenirNext LT Pro Bold" w:hAnsi="AvenirNext LT Pro Bold"/>
                <w:sz w:val="48"/>
                <w:szCs w:val="48"/>
              </w:rPr>
            </w:pPr>
            <w:r>
              <w:rPr>
                <w:rFonts w:ascii="AvenirNext LT Pro Bold" w:hAnsi="AvenirNext LT Pro Bold"/>
                <w:sz w:val="48"/>
                <w:szCs w:val="48"/>
              </w:rPr>
              <w:t xml:space="preserve">scholarships available </w:t>
            </w:r>
          </w:p>
        </w:tc>
      </w:tr>
      <w:tr w:rsidR="00DB346D" w:rsidTr="00DB346D">
        <w:tc>
          <w:tcPr>
            <w:tcW w:w="9360" w:type="dxa"/>
            <w:tcMar>
              <w:top w:w="0" w:type="dxa"/>
              <w:left w:w="108" w:type="dxa"/>
              <w:bottom w:w="0" w:type="dxa"/>
              <w:right w:w="108" w:type="dxa"/>
            </w:tcMar>
          </w:tcPr>
          <w:p w:rsidR="00DB346D" w:rsidRDefault="00DB346D">
            <w:pPr>
              <w:spacing w:after="0" w:line="240" w:lineRule="auto"/>
              <w:rPr>
                <w:rFonts w:ascii="Arial" w:hAnsi="Arial" w:cs="Arial"/>
                <w:sz w:val="21"/>
                <w:szCs w:val="21"/>
              </w:rPr>
            </w:pPr>
          </w:p>
          <w:p w:rsidR="00DB346D" w:rsidRDefault="00DB346D">
            <w:pPr>
              <w:spacing w:after="0" w:line="276" w:lineRule="auto"/>
              <w:jc w:val="center"/>
              <w:rPr>
                <w:rFonts w:ascii="Arial" w:hAnsi="Arial" w:cs="Arial"/>
                <w:sz w:val="21"/>
                <w:szCs w:val="21"/>
              </w:rPr>
            </w:pPr>
            <w:hyperlink r:id="rId6" w:history="1">
              <w:r>
                <w:rPr>
                  <w:rStyle w:val="Hyperlink"/>
                  <w:rFonts w:ascii="Arial" w:hAnsi="Arial" w:cs="Arial"/>
                  <w:sz w:val="21"/>
                  <w:szCs w:val="21"/>
                </w:rPr>
                <w:t>Details and application</w:t>
              </w:r>
            </w:hyperlink>
            <w:r>
              <w:rPr>
                <w:rFonts w:ascii="Arial" w:hAnsi="Arial" w:cs="Arial"/>
                <w:sz w:val="21"/>
                <w:szCs w:val="21"/>
              </w:rPr>
              <w:t xml:space="preserve"> are available on our website under Financial Aid &gt; </w:t>
            </w:r>
          </w:p>
          <w:p w:rsidR="00DB346D" w:rsidRDefault="00DB346D">
            <w:pPr>
              <w:spacing w:after="0" w:line="276" w:lineRule="auto"/>
              <w:jc w:val="center"/>
              <w:rPr>
                <w:rFonts w:ascii="Arial" w:hAnsi="Arial" w:cs="Arial"/>
                <w:sz w:val="21"/>
                <w:szCs w:val="21"/>
              </w:rPr>
            </w:pPr>
            <w:r>
              <w:rPr>
                <w:rFonts w:ascii="Arial" w:hAnsi="Arial" w:cs="Arial"/>
                <w:sz w:val="21"/>
                <w:szCs w:val="21"/>
              </w:rPr>
              <w:t xml:space="preserve">Grants and Scholarships &gt; High School Club and Organization Scholarship. </w:t>
            </w:r>
          </w:p>
          <w:p w:rsidR="00DB346D" w:rsidRDefault="00DB346D">
            <w:pPr>
              <w:spacing w:after="0" w:line="276" w:lineRule="auto"/>
              <w:jc w:val="both"/>
              <w:rPr>
                <w:rFonts w:ascii="Arial" w:hAnsi="Arial" w:cs="Arial"/>
                <w:sz w:val="21"/>
                <w:szCs w:val="21"/>
              </w:rPr>
            </w:pPr>
          </w:p>
        </w:tc>
      </w:tr>
      <w:tr w:rsidR="00DB346D" w:rsidTr="00DB346D">
        <w:tc>
          <w:tcPr>
            <w:tcW w:w="9360" w:type="dxa"/>
            <w:shd w:val="clear" w:color="auto" w:fill="E67823"/>
            <w:tcMar>
              <w:top w:w="0" w:type="dxa"/>
              <w:left w:w="108" w:type="dxa"/>
              <w:bottom w:w="0" w:type="dxa"/>
              <w:right w:w="108" w:type="dxa"/>
            </w:tcMar>
          </w:tcPr>
          <w:p w:rsidR="00DB346D" w:rsidRDefault="00DB346D">
            <w:pPr>
              <w:spacing w:after="0" w:line="240" w:lineRule="auto"/>
              <w:jc w:val="center"/>
              <w:rPr>
                <w:rFonts w:ascii="Arial" w:hAnsi="Arial" w:cs="Arial"/>
                <w:b/>
                <w:bCs/>
                <w:color w:val="FFFFFF"/>
                <w:sz w:val="12"/>
                <w:szCs w:val="12"/>
              </w:rPr>
            </w:pPr>
          </w:p>
          <w:p w:rsidR="00DB346D" w:rsidRDefault="00DB346D">
            <w:pPr>
              <w:spacing w:after="0" w:line="240" w:lineRule="auto"/>
              <w:jc w:val="center"/>
              <w:rPr>
                <w:rFonts w:ascii="Arial" w:hAnsi="Arial" w:cs="Arial"/>
                <w:b/>
                <w:bCs/>
                <w:color w:val="FFFFFF"/>
                <w:sz w:val="28"/>
                <w:szCs w:val="28"/>
              </w:rPr>
            </w:pPr>
            <w:r>
              <w:rPr>
                <w:rFonts w:ascii="Arial" w:hAnsi="Arial" w:cs="Arial"/>
                <w:b/>
                <w:bCs/>
                <w:color w:val="FFFFFF"/>
                <w:sz w:val="28"/>
                <w:szCs w:val="28"/>
              </w:rPr>
              <w:t xml:space="preserve">&lt;&lt; </w:t>
            </w:r>
            <w:hyperlink r:id="rId7" w:history="1">
              <w:r>
                <w:rPr>
                  <w:rStyle w:val="Hyperlink"/>
                  <w:rFonts w:ascii="Arial" w:hAnsi="Arial" w:cs="Arial"/>
                  <w:b/>
                  <w:bCs/>
                  <w:sz w:val="28"/>
                  <w:szCs w:val="28"/>
                </w:rPr>
                <w:t>Apply Now</w:t>
              </w:r>
            </w:hyperlink>
            <w:r>
              <w:rPr>
                <w:rFonts w:ascii="Arial" w:hAnsi="Arial" w:cs="Arial"/>
                <w:b/>
                <w:bCs/>
                <w:color w:val="FFFFFF"/>
                <w:sz w:val="28"/>
                <w:szCs w:val="28"/>
              </w:rPr>
              <w:t xml:space="preserve"> &gt;&gt; </w:t>
            </w:r>
          </w:p>
          <w:p w:rsidR="00DB346D" w:rsidRDefault="00DB346D">
            <w:pPr>
              <w:spacing w:after="0" w:line="240" w:lineRule="auto"/>
              <w:jc w:val="center"/>
              <w:rPr>
                <w:rFonts w:ascii="Arial" w:hAnsi="Arial" w:cs="Arial"/>
                <w:b/>
                <w:bCs/>
                <w:sz w:val="12"/>
                <w:szCs w:val="12"/>
              </w:rPr>
            </w:pPr>
          </w:p>
        </w:tc>
      </w:tr>
      <w:tr w:rsidR="00DB346D" w:rsidTr="00DB346D">
        <w:tc>
          <w:tcPr>
            <w:tcW w:w="9360" w:type="dxa"/>
            <w:shd w:val="clear" w:color="auto" w:fill="005984"/>
            <w:tcMar>
              <w:top w:w="0" w:type="dxa"/>
              <w:left w:w="108" w:type="dxa"/>
              <w:bottom w:w="0" w:type="dxa"/>
              <w:right w:w="108" w:type="dxa"/>
            </w:tcMar>
          </w:tcPr>
          <w:p w:rsidR="00DB346D" w:rsidRDefault="00DB346D">
            <w:pPr>
              <w:spacing w:after="0" w:line="240" w:lineRule="auto"/>
              <w:jc w:val="center"/>
              <w:rPr>
                <w:color w:val="FFFFFF"/>
              </w:rPr>
            </w:pPr>
          </w:p>
          <w:p w:rsidR="00DB346D" w:rsidRDefault="00DB346D">
            <w:pPr>
              <w:spacing w:after="0" w:line="240" w:lineRule="auto"/>
              <w:jc w:val="center"/>
              <w:rPr>
                <w:b/>
                <w:bCs/>
                <w:color w:val="FFFFFF"/>
              </w:rPr>
            </w:pPr>
            <w:r>
              <w:rPr>
                <w:noProof/>
              </w:rPr>
              <w:drawing>
                <wp:inline distT="0" distB="0" distL="0" distR="0">
                  <wp:extent cx="2390775" cy="590550"/>
                  <wp:effectExtent l="0" t="0" r="9525" b="0"/>
                  <wp:docPr id="1" name="Picture 1" descr="cid:image002.png@01D70383.02D0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0383.02D017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90775" cy="590550"/>
                          </a:xfrm>
                          <a:prstGeom prst="rect">
                            <a:avLst/>
                          </a:prstGeom>
                          <a:noFill/>
                          <a:ln>
                            <a:noFill/>
                          </a:ln>
                        </pic:spPr>
                      </pic:pic>
                    </a:graphicData>
                  </a:graphic>
                </wp:inline>
              </w:drawing>
            </w:r>
            <w:bookmarkEnd w:id="0"/>
          </w:p>
          <w:p w:rsidR="00DB346D" w:rsidRDefault="00DB346D">
            <w:pPr>
              <w:spacing w:after="0" w:line="240" w:lineRule="auto"/>
              <w:jc w:val="center"/>
              <w:rPr>
                <w:b/>
                <w:bCs/>
                <w:color w:val="FFFFFF"/>
              </w:rPr>
            </w:pPr>
          </w:p>
        </w:tc>
      </w:tr>
    </w:tbl>
    <w:p w:rsidR="00DB346D" w:rsidRDefault="00DB346D" w:rsidP="00DB346D">
      <w:pPr>
        <w:ind w:left="720"/>
      </w:pPr>
    </w:p>
    <w:p w:rsidR="003256E3" w:rsidRPr="00DB346D" w:rsidRDefault="003256E3" w:rsidP="00DB346D">
      <w:bookmarkStart w:id="1" w:name="_GoBack"/>
      <w:bookmarkEnd w:id="1"/>
    </w:p>
    <w:sectPr w:rsidR="003256E3" w:rsidRPr="00DB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71"/>
    <w:rsid w:val="003256E3"/>
    <w:rsid w:val="00460B71"/>
    <w:rsid w:val="00DB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16B6"/>
  <w15:chartTrackingRefBased/>
  <w15:docId w15:val="{A7DF67E2-F895-4A17-A246-9A39F6C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6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4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us-west-2.protection.sophos.com?d=ptcollege.edu&amp;u=aHR0cHM6Ly9wdGNvbGxlZ2UuZWR1L3dwLWNvbnRlbnQvdXBsb2Fkcy9wZGYvc2Nob2xhcnNoaXBzX2FwcGxpY2F0aW9uLnBkZg==&amp;i=NTZhMTIyZDk4MDczZTUwZWI4ODFiOTk1&amp;t=dHhubEpGU0M0azAvd05ZSnNYVitZQnZvY3Q5QU1OVlRCVkRSazRSOStoRT0=&amp;h=ed85b0c490c140fb8955e15c3cecc4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west-2.protection.sophos.com?d=ptcollege.edu&amp;u=aHR0cHM6Ly9wdGNvbGxlZ2UuZWR1L2ZpbmFuY2lhbC1haWQvZ3JhbnRzLWFuZC1zY2hvbGFyc2hpcHMv&amp;i=NTZhMTIyZDk4MDczZTUwZWI4ODFiOTk1&amp;t=L3BiUUZpcFA2S3JvdVJzT2NKTFdaN1h0MU51WklUUVpYOGhlbFhQdWxMVT0=&amp;h=ed85b0c490c140fb8955e15c3cecc408" TargetMode="External"/><Relationship Id="rId11" Type="http://schemas.openxmlformats.org/officeDocument/2006/relationships/theme" Target="theme/theme1.xml"/><Relationship Id="rId5" Type="http://schemas.openxmlformats.org/officeDocument/2006/relationships/image" Target="cid:image001.jpg@01D70383.02D0177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2.png@01D70383.02D01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5589</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Ambridge Area School District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Santini</dc:creator>
  <cp:keywords/>
  <dc:description/>
  <cp:lastModifiedBy>Noel Santini</cp:lastModifiedBy>
  <cp:revision>1</cp:revision>
  <dcterms:created xsi:type="dcterms:W3CDTF">2021-02-19T19:17:00Z</dcterms:created>
  <dcterms:modified xsi:type="dcterms:W3CDTF">2021-02-24T14:00:00Z</dcterms:modified>
</cp:coreProperties>
</file>